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C5AA" w14:textId="5163C96F" w:rsidR="00913515" w:rsidRDefault="007B6691" w:rsidP="007B6691">
      <w:pPr>
        <w:jc w:val="center"/>
      </w:pPr>
      <w:r>
        <w:rPr>
          <w:noProof/>
        </w:rPr>
        <w:drawing>
          <wp:inline distT="0" distB="0" distL="0" distR="0" wp14:anchorId="64FB1FB2" wp14:editId="10FBE561">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0E65D8E9" w14:textId="77777777" w:rsidR="007B6691" w:rsidRDefault="007B6691"/>
    <w:p w14:paraId="743F276D" w14:textId="77777777" w:rsidR="00B7282C" w:rsidRDefault="007B6691" w:rsidP="007B6691">
      <w:pPr>
        <w:pStyle w:val="Heading1"/>
        <w:jc w:val="center"/>
      </w:pPr>
      <w:r w:rsidRPr="00B57BF3">
        <w:t>Asheville-Bunco</w:t>
      </w:r>
      <w:r w:rsidR="00B7282C">
        <w:t>mbe Technical Community College</w:t>
      </w:r>
    </w:p>
    <w:p w14:paraId="35D8770F" w14:textId="77777777" w:rsidR="007B6691" w:rsidRDefault="007B6691" w:rsidP="007B6691">
      <w:pPr>
        <w:pStyle w:val="Heading1"/>
        <w:jc w:val="center"/>
      </w:pPr>
      <w:r>
        <w:t xml:space="preserve">(A-B Tech) </w:t>
      </w:r>
      <w:r w:rsidR="00B7282C">
        <w:t>Procedure</w:t>
      </w:r>
    </w:p>
    <w:p w14:paraId="4C5C5B08" w14:textId="77777777" w:rsidR="007B6691" w:rsidRDefault="007B6691" w:rsidP="007B6691">
      <w:pPr>
        <w:jc w:val="center"/>
        <w:rPr>
          <w:b/>
        </w:rPr>
      </w:pPr>
    </w:p>
    <w:p w14:paraId="1F2F896B" w14:textId="7E98BB85" w:rsidR="001055C8" w:rsidRPr="001055C8" w:rsidRDefault="00B7282C" w:rsidP="001055C8">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CA5162">
        <w:rPr>
          <w:rFonts w:asciiTheme="minorHAnsi" w:hAnsiTheme="minorHAnsi"/>
          <w:sz w:val="28"/>
          <w:szCs w:val="28"/>
        </w:rPr>
        <w:t>216</w:t>
      </w:r>
      <w:r w:rsidR="00DF27B4">
        <w:rPr>
          <w:rFonts w:asciiTheme="minorHAnsi" w:hAnsiTheme="minorHAnsi"/>
          <w:sz w:val="28"/>
          <w:szCs w:val="28"/>
        </w:rPr>
        <w:t xml:space="preserve">:  </w:t>
      </w:r>
      <w:r w:rsidR="00CA5162">
        <w:rPr>
          <w:rFonts w:asciiTheme="minorHAnsi" w:hAnsiTheme="minorHAnsi"/>
          <w:sz w:val="28"/>
          <w:szCs w:val="28"/>
        </w:rPr>
        <w:t>Commencement Participation</w:t>
      </w:r>
      <w:r w:rsidR="00DF27B4">
        <w:rPr>
          <w:rFonts w:asciiTheme="minorHAnsi" w:hAnsiTheme="minorHAnsi"/>
          <w:sz w:val="28"/>
          <w:szCs w:val="28"/>
        </w:rPr>
        <w:t xml:space="preserve"> </w:t>
      </w:r>
    </w:p>
    <w:p w14:paraId="75941E15" w14:textId="74F2587A"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 xml:space="preserve">Curriculum faculty, department chairs, and deans are expected to participate in Commencement annually. </w:t>
      </w:r>
      <w:r w:rsidR="00DA783C" w:rsidRPr="000A34DF">
        <w:rPr>
          <w:rFonts w:ascii="Times New Roman" w:hAnsi="Times New Roman" w:cs="Times New Roman"/>
          <w:sz w:val="24"/>
          <w:szCs w:val="24"/>
        </w:rPr>
        <w:t xml:space="preserve"> </w:t>
      </w:r>
      <w:r w:rsidRPr="000A34DF">
        <w:rPr>
          <w:rFonts w:ascii="Times New Roman" w:hAnsi="Times New Roman" w:cs="Times New Roman"/>
          <w:sz w:val="24"/>
          <w:szCs w:val="24"/>
        </w:rPr>
        <w:t>Adjunct curriculum faculty are invited to participate, but it is not mandatory.</w:t>
      </w:r>
    </w:p>
    <w:p w14:paraId="6CB32EE3" w14:textId="77777777"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There are two ways faculty may participate:</w:t>
      </w:r>
    </w:p>
    <w:p w14:paraId="66E2E19C" w14:textId="30B7FC0F" w:rsidR="001055C8" w:rsidRPr="000A34DF" w:rsidRDefault="001055C8" w:rsidP="000A34DF">
      <w:pPr>
        <w:pStyle w:val="ListParagraph"/>
        <w:numPr>
          <w:ilvl w:val="0"/>
          <w:numId w:val="18"/>
        </w:numPr>
        <w:spacing w:before="120" w:after="120" w:line="240" w:lineRule="auto"/>
        <w:contextualSpacing w:val="0"/>
        <w:rPr>
          <w:rFonts w:ascii="Times New Roman" w:hAnsi="Times New Roman" w:cs="Times New Roman"/>
          <w:sz w:val="24"/>
          <w:szCs w:val="24"/>
        </w:rPr>
      </w:pPr>
      <w:r w:rsidRPr="000A34DF">
        <w:rPr>
          <w:rFonts w:ascii="Times New Roman" w:hAnsi="Times New Roman" w:cs="Times New Roman"/>
          <w:sz w:val="24"/>
          <w:szCs w:val="24"/>
        </w:rPr>
        <w:t xml:space="preserve">Faculty will march or otherwise be seated in a designated faculty section, in full academic regalia. </w:t>
      </w:r>
      <w:r w:rsidR="00526FA7">
        <w:rPr>
          <w:rFonts w:ascii="Times New Roman" w:hAnsi="Times New Roman" w:cs="Times New Roman"/>
          <w:sz w:val="24"/>
          <w:szCs w:val="24"/>
        </w:rPr>
        <w:t xml:space="preserve"> </w:t>
      </w:r>
      <w:r w:rsidRPr="000A34DF">
        <w:rPr>
          <w:rFonts w:ascii="Times New Roman" w:hAnsi="Times New Roman" w:cs="Times New Roman"/>
          <w:sz w:val="24"/>
          <w:szCs w:val="24"/>
        </w:rPr>
        <w:t>Designated faculty may be invited to be part of the platform party.</w:t>
      </w:r>
    </w:p>
    <w:p w14:paraId="28F61928" w14:textId="77777777" w:rsidR="001055C8" w:rsidRPr="000A34DF" w:rsidRDefault="001055C8" w:rsidP="000A34DF">
      <w:pPr>
        <w:pStyle w:val="ListParagraph"/>
        <w:numPr>
          <w:ilvl w:val="0"/>
          <w:numId w:val="18"/>
        </w:numPr>
        <w:spacing w:before="120" w:after="120" w:line="240" w:lineRule="auto"/>
        <w:contextualSpacing w:val="0"/>
        <w:rPr>
          <w:rFonts w:ascii="Times New Roman" w:hAnsi="Times New Roman" w:cs="Times New Roman"/>
          <w:sz w:val="24"/>
          <w:szCs w:val="24"/>
        </w:rPr>
      </w:pPr>
      <w:r w:rsidRPr="000A34DF">
        <w:rPr>
          <w:rFonts w:ascii="Times New Roman" w:hAnsi="Times New Roman" w:cs="Times New Roman"/>
          <w:sz w:val="24"/>
          <w:szCs w:val="24"/>
        </w:rPr>
        <w:t xml:space="preserve">Faculty will serve as event staff </w:t>
      </w:r>
      <w:r w:rsidRPr="000A34DF">
        <w:rPr>
          <w:rFonts w:ascii="Times New Roman" w:hAnsi="Times New Roman" w:cs="Times New Roman"/>
          <w:sz w:val="24"/>
          <w:szCs w:val="24"/>
          <w:u w:val="single"/>
        </w:rPr>
        <w:t>during</w:t>
      </w:r>
      <w:r w:rsidRPr="000A34DF">
        <w:rPr>
          <w:rFonts w:ascii="Times New Roman" w:hAnsi="Times New Roman" w:cs="Times New Roman"/>
          <w:sz w:val="24"/>
          <w:szCs w:val="24"/>
        </w:rPr>
        <w:t xml:space="preserve"> the commencement ceremony. </w:t>
      </w:r>
    </w:p>
    <w:p w14:paraId="39EC52A3" w14:textId="77777777"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Faculty who march will wear appropriate faculty regalia following guidelines from the American Council on Education</w:t>
      </w:r>
      <w:r w:rsidRPr="00526FA7">
        <w:rPr>
          <w:rFonts w:ascii="Times New Roman" w:hAnsi="Times New Roman" w:cs="Times New Roman"/>
          <w:sz w:val="24"/>
          <w:szCs w:val="24"/>
        </w:rPr>
        <w:t xml:space="preserve"> </w:t>
      </w:r>
      <w:r w:rsidRPr="000A34DF">
        <w:rPr>
          <w:rFonts w:ascii="Times New Roman" w:hAnsi="Times New Roman" w:cs="Times New Roman"/>
          <w:sz w:val="24"/>
          <w:szCs w:val="24"/>
        </w:rPr>
        <w:t>and approved by the College.  This includes the following:</w:t>
      </w:r>
    </w:p>
    <w:p w14:paraId="3A2B1434" w14:textId="3B214003" w:rsidR="001055C8" w:rsidRPr="000A34DF" w:rsidRDefault="001055C8" w:rsidP="000A34DF">
      <w:pPr>
        <w:pStyle w:val="ListParagraph"/>
        <w:numPr>
          <w:ilvl w:val="0"/>
          <w:numId w:val="19"/>
        </w:numPr>
        <w:spacing w:before="120" w:after="120" w:line="240" w:lineRule="auto"/>
        <w:contextualSpacing w:val="0"/>
        <w:rPr>
          <w:rFonts w:ascii="Times New Roman" w:hAnsi="Times New Roman" w:cs="Times New Roman"/>
          <w:sz w:val="24"/>
          <w:szCs w:val="24"/>
        </w:rPr>
      </w:pPr>
      <w:r w:rsidRPr="000A34DF">
        <w:rPr>
          <w:rFonts w:ascii="Times New Roman" w:hAnsi="Times New Roman" w:cs="Times New Roman"/>
          <w:sz w:val="24"/>
          <w:szCs w:val="24"/>
        </w:rPr>
        <w:t>A gown that appropriately reflects the degree held by the faculty</w:t>
      </w:r>
      <w:r w:rsidR="00526FA7">
        <w:rPr>
          <w:rFonts w:ascii="Times New Roman" w:hAnsi="Times New Roman" w:cs="Times New Roman"/>
          <w:sz w:val="24"/>
          <w:szCs w:val="24"/>
        </w:rPr>
        <w:t xml:space="preserve"> member.</w:t>
      </w:r>
    </w:p>
    <w:p w14:paraId="21B2D254" w14:textId="10D5F659" w:rsidR="001055C8" w:rsidRPr="000A34DF" w:rsidRDefault="001055C8" w:rsidP="000A34DF">
      <w:pPr>
        <w:pStyle w:val="ListParagraph"/>
        <w:numPr>
          <w:ilvl w:val="0"/>
          <w:numId w:val="19"/>
        </w:numPr>
        <w:spacing w:before="120" w:after="120" w:line="240" w:lineRule="auto"/>
        <w:contextualSpacing w:val="0"/>
        <w:rPr>
          <w:rFonts w:ascii="Times New Roman" w:hAnsi="Times New Roman" w:cs="Times New Roman"/>
          <w:sz w:val="24"/>
          <w:szCs w:val="24"/>
        </w:rPr>
      </w:pPr>
      <w:r w:rsidRPr="000A34DF">
        <w:rPr>
          <w:rFonts w:ascii="Times New Roman" w:hAnsi="Times New Roman" w:cs="Times New Roman"/>
          <w:sz w:val="24"/>
          <w:szCs w:val="24"/>
        </w:rPr>
        <w:t>For master’s and doctors’ degree</w:t>
      </w:r>
      <w:r w:rsidR="00344F52">
        <w:rPr>
          <w:rFonts w:ascii="Times New Roman" w:hAnsi="Times New Roman" w:cs="Times New Roman"/>
          <w:sz w:val="24"/>
          <w:szCs w:val="24"/>
        </w:rPr>
        <w:t>s</w:t>
      </w:r>
      <w:r w:rsidRPr="000A34DF">
        <w:rPr>
          <w:rFonts w:ascii="Times New Roman" w:hAnsi="Times New Roman" w:cs="Times New Roman"/>
          <w:sz w:val="24"/>
          <w:szCs w:val="24"/>
        </w:rPr>
        <w:t>, a hood that reflects the degree, degree granting institution, and discipline held by the faculty</w:t>
      </w:r>
      <w:r w:rsidR="00526FA7">
        <w:rPr>
          <w:rFonts w:ascii="Times New Roman" w:hAnsi="Times New Roman" w:cs="Times New Roman"/>
          <w:sz w:val="24"/>
          <w:szCs w:val="24"/>
        </w:rPr>
        <w:t xml:space="preserve"> member.</w:t>
      </w:r>
    </w:p>
    <w:p w14:paraId="643BA646" w14:textId="037A7ACD" w:rsidR="001055C8" w:rsidRPr="000A34DF" w:rsidRDefault="001055C8" w:rsidP="000A34DF">
      <w:pPr>
        <w:pStyle w:val="ListParagraph"/>
        <w:numPr>
          <w:ilvl w:val="0"/>
          <w:numId w:val="19"/>
        </w:numPr>
        <w:spacing w:before="120" w:after="120" w:line="240" w:lineRule="auto"/>
        <w:contextualSpacing w:val="0"/>
        <w:rPr>
          <w:rFonts w:ascii="Times New Roman" w:hAnsi="Times New Roman" w:cs="Times New Roman"/>
          <w:sz w:val="24"/>
          <w:szCs w:val="24"/>
        </w:rPr>
      </w:pPr>
      <w:r w:rsidRPr="000A34DF">
        <w:rPr>
          <w:rFonts w:ascii="Times New Roman" w:hAnsi="Times New Roman" w:cs="Times New Roman"/>
          <w:sz w:val="24"/>
          <w:szCs w:val="24"/>
        </w:rPr>
        <w:t>Either a mortarboard or tam that reflects the degree with the appropriate tassel worn on the left-hand side of the cap</w:t>
      </w:r>
      <w:r w:rsidR="009E3907">
        <w:rPr>
          <w:rFonts w:ascii="Times New Roman" w:hAnsi="Times New Roman" w:cs="Times New Roman"/>
          <w:sz w:val="24"/>
          <w:szCs w:val="24"/>
        </w:rPr>
        <w:t>.</w:t>
      </w:r>
    </w:p>
    <w:p w14:paraId="007D32A1" w14:textId="18880B4A"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New full-time faculty may work with the A-B Tech Bookstore to order regalia items.</w:t>
      </w:r>
      <w:r w:rsidR="009E3907">
        <w:rPr>
          <w:rFonts w:ascii="Times New Roman" w:hAnsi="Times New Roman" w:cs="Times New Roman"/>
          <w:sz w:val="24"/>
          <w:szCs w:val="24"/>
        </w:rPr>
        <w:t xml:space="preserve"> </w:t>
      </w:r>
      <w:r w:rsidRPr="000A34DF">
        <w:rPr>
          <w:rFonts w:ascii="Times New Roman" w:hAnsi="Times New Roman" w:cs="Times New Roman"/>
          <w:sz w:val="24"/>
          <w:szCs w:val="24"/>
        </w:rPr>
        <w:t xml:space="preserve"> Orders must be placed by February 15 of each year.</w:t>
      </w:r>
      <w:r w:rsidR="009E3907">
        <w:rPr>
          <w:rFonts w:ascii="Times New Roman" w:hAnsi="Times New Roman" w:cs="Times New Roman"/>
          <w:sz w:val="24"/>
          <w:szCs w:val="24"/>
        </w:rPr>
        <w:t xml:space="preserve"> </w:t>
      </w:r>
      <w:r w:rsidRPr="000A34DF">
        <w:rPr>
          <w:rFonts w:ascii="Times New Roman" w:hAnsi="Times New Roman" w:cs="Times New Roman"/>
          <w:sz w:val="24"/>
          <w:szCs w:val="24"/>
        </w:rPr>
        <w:t xml:space="preserve"> Replacement regalia will be ordered at the expense of the employee. </w:t>
      </w:r>
    </w:p>
    <w:p w14:paraId="0D90991B" w14:textId="3625D306"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 xml:space="preserve">Faculty choosing to serve as event staff must receive approval from the appropriate dean and the Vice President of Instructional Services to ensure that departments have adequate representation in the faculty processional. </w:t>
      </w:r>
      <w:r w:rsidR="009E3907">
        <w:rPr>
          <w:rFonts w:ascii="Times New Roman" w:hAnsi="Times New Roman" w:cs="Times New Roman"/>
          <w:sz w:val="24"/>
          <w:szCs w:val="24"/>
        </w:rPr>
        <w:t xml:space="preserve"> </w:t>
      </w:r>
      <w:r w:rsidRPr="000A34DF">
        <w:rPr>
          <w:rFonts w:ascii="Times New Roman" w:hAnsi="Times New Roman" w:cs="Times New Roman"/>
          <w:sz w:val="24"/>
          <w:szCs w:val="24"/>
        </w:rPr>
        <w:t>Faculty approved for event staff will be given an assignment by the Commencement Committee.</w:t>
      </w:r>
    </w:p>
    <w:p w14:paraId="7A57CDF3" w14:textId="5847EE01"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 xml:space="preserve">Faculty requesting to be excused from Commencement for other than health or bereavement reasons must receive permission from the Vice President of Instructional Services no later April 15 of each year. </w:t>
      </w:r>
      <w:r w:rsidR="009E3907">
        <w:rPr>
          <w:rFonts w:ascii="Times New Roman" w:hAnsi="Times New Roman" w:cs="Times New Roman"/>
          <w:sz w:val="24"/>
          <w:szCs w:val="24"/>
        </w:rPr>
        <w:t xml:space="preserve"> </w:t>
      </w:r>
      <w:r w:rsidRPr="000A34DF">
        <w:rPr>
          <w:rFonts w:ascii="Times New Roman" w:hAnsi="Times New Roman" w:cs="Times New Roman"/>
          <w:sz w:val="24"/>
          <w:szCs w:val="24"/>
        </w:rPr>
        <w:t xml:space="preserve">If the request is approved, faculty will take a day of vacation or personal observance leave. </w:t>
      </w:r>
      <w:r w:rsidR="009E3907">
        <w:rPr>
          <w:rFonts w:ascii="Times New Roman" w:hAnsi="Times New Roman" w:cs="Times New Roman"/>
          <w:sz w:val="24"/>
          <w:szCs w:val="24"/>
        </w:rPr>
        <w:t xml:space="preserve"> </w:t>
      </w:r>
      <w:r w:rsidRPr="000A34DF">
        <w:rPr>
          <w:rFonts w:ascii="Times New Roman" w:hAnsi="Times New Roman" w:cs="Times New Roman"/>
          <w:sz w:val="24"/>
          <w:szCs w:val="24"/>
        </w:rPr>
        <w:t>Permissible excuses include:</w:t>
      </w:r>
    </w:p>
    <w:p w14:paraId="1584CDE7" w14:textId="5A82748D" w:rsidR="001055C8" w:rsidRPr="000A34DF" w:rsidRDefault="001055C8" w:rsidP="000A34DF">
      <w:pPr>
        <w:pStyle w:val="ListParagraph"/>
        <w:numPr>
          <w:ilvl w:val="0"/>
          <w:numId w:val="20"/>
        </w:numPr>
        <w:spacing w:before="120" w:after="120" w:line="240" w:lineRule="auto"/>
        <w:contextualSpacing w:val="0"/>
        <w:rPr>
          <w:rFonts w:ascii="Times New Roman" w:hAnsi="Times New Roman" w:cs="Times New Roman"/>
          <w:sz w:val="24"/>
          <w:szCs w:val="24"/>
        </w:rPr>
      </w:pPr>
      <w:r w:rsidRPr="000A34DF">
        <w:rPr>
          <w:rFonts w:ascii="Times New Roman" w:hAnsi="Times New Roman" w:cs="Times New Roman"/>
          <w:sz w:val="24"/>
          <w:szCs w:val="24"/>
        </w:rPr>
        <w:t>Conflict with one’s own or a loved-one’s commencement at another institution</w:t>
      </w:r>
      <w:r w:rsidR="009E3907">
        <w:rPr>
          <w:rFonts w:ascii="Times New Roman" w:hAnsi="Times New Roman" w:cs="Times New Roman"/>
          <w:sz w:val="24"/>
          <w:szCs w:val="24"/>
        </w:rPr>
        <w:t>.</w:t>
      </w:r>
    </w:p>
    <w:p w14:paraId="22DBDCAE" w14:textId="3113392F" w:rsidR="001055C8" w:rsidRPr="000A34DF" w:rsidRDefault="001055C8" w:rsidP="000A34DF">
      <w:pPr>
        <w:pStyle w:val="ListParagraph"/>
        <w:numPr>
          <w:ilvl w:val="0"/>
          <w:numId w:val="20"/>
        </w:numPr>
        <w:spacing w:before="120" w:after="120" w:line="240" w:lineRule="auto"/>
        <w:contextualSpacing w:val="0"/>
        <w:rPr>
          <w:rFonts w:ascii="Times New Roman" w:hAnsi="Times New Roman" w:cs="Times New Roman"/>
          <w:sz w:val="24"/>
          <w:szCs w:val="24"/>
        </w:rPr>
      </w:pPr>
      <w:r w:rsidRPr="000A34DF">
        <w:rPr>
          <w:rFonts w:ascii="Times New Roman" w:hAnsi="Times New Roman" w:cs="Times New Roman"/>
          <w:sz w:val="24"/>
          <w:szCs w:val="24"/>
        </w:rPr>
        <w:lastRenderedPageBreak/>
        <w:t xml:space="preserve">Conflict with one’s own </w:t>
      </w:r>
      <w:r w:rsidR="009E3907">
        <w:rPr>
          <w:rFonts w:ascii="Times New Roman" w:hAnsi="Times New Roman" w:cs="Times New Roman"/>
          <w:sz w:val="24"/>
          <w:szCs w:val="24"/>
        </w:rPr>
        <w:t xml:space="preserve">or </w:t>
      </w:r>
      <w:r w:rsidRPr="000A34DF">
        <w:rPr>
          <w:rFonts w:ascii="Times New Roman" w:hAnsi="Times New Roman" w:cs="Times New Roman"/>
          <w:sz w:val="24"/>
          <w:szCs w:val="24"/>
        </w:rPr>
        <w:t xml:space="preserve">a loved-one’s wedding or </w:t>
      </w:r>
      <w:proofErr w:type="gramStart"/>
      <w:r w:rsidRPr="000A34DF">
        <w:rPr>
          <w:rFonts w:ascii="Times New Roman" w:hAnsi="Times New Roman" w:cs="Times New Roman"/>
          <w:sz w:val="24"/>
          <w:szCs w:val="24"/>
        </w:rPr>
        <w:t>other</w:t>
      </w:r>
      <w:proofErr w:type="gramEnd"/>
      <w:r w:rsidRPr="000A34DF">
        <w:rPr>
          <w:rFonts w:ascii="Times New Roman" w:hAnsi="Times New Roman" w:cs="Times New Roman"/>
          <w:sz w:val="24"/>
          <w:szCs w:val="24"/>
        </w:rPr>
        <w:t xml:space="preserve"> once-in-a-lifetime event</w:t>
      </w:r>
      <w:r w:rsidR="009E3907">
        <w:rPr>
          <w:rFonts w:ascii="Times New Roman" w:hAnsi="Times New Roman" w:cs="Times New Roman"/>
          <w:sz w:val="24"/>
          <w:szCs w:val="24"/>
        </w:rPr>
        <w:t>.</w:t>
      </w:r>
    </w:p>
    <w:p w14:paraId="0E4AF480" w14:textId="246323B5"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 xml:space="preserve">Recurring events that conflict with </w:t>
      </w:r>
      <w:r w:rsidR="009E3907">
        <w:rPr>
          <w:rFonts w:ascii="Times New Roman" w:hAnsi="Times New Roman" w:cs="Times New Roman"/>
          <w:sz w:val="24"/>
          <w:szCs w:val="24"/>
        </w:rPr>
        <w:t>C</w:t>
      </w:r>
      <w:r w:rsidRPr="000A34DF">
        <w:rPr>
          <w:rFonts w:ascii="Times New Roman" w:hAnsi="Times New Roman" w:cs="Times New Roman"/>
          <w:sz w:val="24"/>
          <w:szCs w:val="24"/>
        </w:rPr>
        <w:t>ommencement will not be considered as a permissible excuse.</w:t>
      </w:r>
    </w:p>
    <w:p w14:paraId="4CA07430" w14:textId="77777777"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Faculty requesting to be excused from Commencement for health or bereavement reasons must contact the Vice President of Instructional Services and/or their immediate supervisor as soon as possible following the Reporting of Absence Procedure 507.</w:t>
      </w:r>
    </w:p>
    <w:p w14:paraId="19FEE1AB" w14:textId="77777777" w:rsidR="001055C8" w:rsidRPr="000A34DF" w:rsidRDefault="001055C8" w:rsidP="000A34DF">
      <w:pPr>
        <w:pStyle w:val="Heading4"/>
      </w:pPr>
      <w:r w:rsidRPr="000A34DF">
        <w:t>Academic Deans</w:t>
      </w:r>
    </w:p>
    <w:p w14:paraId="20FE9CD2" w14:textId="6D425B00"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 xml:space="preserve">Academic </w:t>
      </w:r>
      <w:r w:rsidR="00CB294E">
        <w:rPr>
          <w:rFonts w:ascii="Times New Roman" w:hAnsi="Times New Roman" w:cs="Times New Roman"/>
          <w:sz w:val="24"/>
          <w:szCs w:val="24"/>
        </w:rPr>
        <w:t>d</w:t>
      </w:r>
      <w:r w:rsidRPr="000A34DF">
        <w:rPr>
          <w:rFonts w:ascii="Times New Roman" w:hAnsi="Times New Roman" w:cs="Times New Roman"/>
          <w:sz w:val="24"/>
          <w:szCs w:val="24"/>
        </w:rPr>
        <w:t xml:space="preserve">eans will march with the standard bearers for the appropriate division. </w:t>
      </w:r>
      <w:r w:rsidR="00CB294E">
        <w:rPr>
          <w:rFonts w:ascii="Times New Roman" w:hAnsi="Times New Roman" w:cs="Times New Roman"/>
          <w:sz w:val="24"/>
          <w:szCs w:val="24"/>
        </w:rPr>
        <w:t xml:space="preserve"> </w:t>
      </w:r>
      <w:r w:rsidRPr="000A34DF">
        <w:rPr>
          <w:rFonts w:ascii="Times New Roman" w:hAnsi="Times New Roman" w:cs="Times New Roman"/>
          <w:sz w:val="24"/>
          <w:szCs w:val="24"/>
        </w:rPr>
        <w:t>Academic deans will wear appropriate academic regalia as outlined above.</w:t>
      </w:r>
      <w:r w:rsidR="00CB294E">
        <w:rPr>
          <w:rFonts w:ascii="Times New Roman" w:hAnsi="Times New Roman" w:cs="Times New Roman"/>
          <w:sz w:val="24"/>
          <w:szCs w:val="24"/>
        </w:rPr>
        <w:t xml:space="preserve"> </w:t>
      </w:r>
      <w:r w:rsidRPr="000A34DF">
        <w:rPr>
          <w:rFonts w:ascii="Times New Roman" w:hAnsi="Times New Roman" w:cs="Times New Roman"/>
          <w:sz w:val="24"/>
          <w:szCs w:val="24"/>
        </w:rPr>
        <w:t xml:space="preserve"> Deans will either sit with the platform party on stage or with the faculty, as determined by the Commencement Committee. </w:t>
      </w:r>
    </w:p>
    <w:p w14:paraId="4E3645AB" w14:textId="5349A4A3"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 xml:space="preserve">Deans requesting to be excused from Commencement for other than health reasons must receive permission from the Vice President of Instructional Services no later April 15 of each year. </w:t>
      </w:r>
      <w:r w:rsidR="00CB294E">
        <w:rPr>
          <w:rFonts w:ascii="Times New Roman" w:hAnsi="Times New Roman" w:cs="Times New Roman"/>
          <w:sz w:val="24"/>
          <w:szCs w:val="24"/>
        </w:rPr>
        <w:t xml:space="preserve"> </w:t>
      </w:r>
      <w:r w:rsidRPr="000A34DF">
        <w:rPr>
          <w:rFonts w:ascii="Times New Roman" w:hAnsi="Times New Roman" w:cs="Times New Roman"/>
          <w:sz w:val="24"/>
          <w:szCs w:val="24"/>
        </w:rPr>
        <w:t xml:space="preserve">If the request is approved, the dean will take eight hours of vacation or personal observance leave. </w:t>
      </w:r>
      <w:r w:rsidR="00CB294E">
        <w:rPr>
          <w:rFonts w:ascii="Times New Roman" w:hAnsi="Times New Roman" w:cs="Times New Roman"/>
          <w:sz w:val="24"/>
          <w:szCs w:val="24"/>
        </w:rPr>
        <w:t xml:space="preserve"> </w:t>
      </w:r>
      <w:r w:rsidRPr="000A34DF">
        <w:rPr>
          <w:rFonts w:ascii="Times New Roman" w:hAnsi="Times New Roman" w:cs="Times New Roman"/>
          <w:sz w:val="24"/>
          <w:szCs w:val="24"/>
        </w:rPr>
        <w:t>The dean will also identify an appropriate replacement to accompany the standard bearer and represent the division.</w:t>
      </w:r>
      <w:r w:rsidR="00CB294E">
        <w:rPr>
          <w:rFonts w:ascii="Times New Roman" w:hAnsi="Times New Roman" w:cs="Times New Roman"/>
          <w:sz w:val="24"/>
          <w:szCs w:val="24"/>
        </w:rPr>
        <w:t xml:space="preserve"> </w:t>
      </w:r>
      <w:r w:rsidRPr="000A34DF">
        <w:rPr>
          <w:rFonts w:ascii="Times New Roman" w:hAnsi="Times New Roman" w:cs="Times New Roman"/>
          <w:sz w:val="24"/>
          <w:szCs w:val="24"/>
        </w:rPr>
        <w:t xml:space="preserve"> The replacement must be approved by the Vice President of Instructional Services. </w:t>
      </w:r>
    </w:p>
    <w:p w14:paraId="21B79C2A" w14:textId="5D507825"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 xml:space="preserve">Deans requesting to be excused from Commencement for health or bereavement reasons must contact the Vice President of Instructional Services as soon as possible following the Reporting of Absence Procedure 507. </w:t>
      </w:r>
      <w:r w:rsidR="00CB294E">
        <w:rPr>
          <w:rFonts w:ascii="Times New Roman" w:hAnsi="Times New Roman" w:cs="Times New Roman"/>
          <w:sz w:val="24"/>
          <w:szCs w:val="24"/>
        </w:rPr>
        <w:t xml:space="preserve"> </w:t>
      </w:r>
      <w:r w:rsidRPr="000A34DF">
        <w:rPr>
          <w:rFonts w:ascii="Times New Roman" w:hAnsi="Times New Roman" w:cs="Times New Roman"/>
          <w:sz w:val="24"/>
          <w:szCs w:val="24"/>
        </w:rPr>
        <w:t xml:space="preserve">The dean will also identify an appropriate replacement to accompany the standard bearer and represent the division. </w:t>
      </w:r>
      <w:r w:rsidR="00CB294E">
        <w:rPr>
          <w:rFonts w:ascii="Times New Roman" w:hAnsi="Times New Roman" w:cs="Times New Roman"/>
          <w:sz w:val="24"/>
          <w:szCs w:val="24"/>
        </w:rPr>
        <w:t xml:space="preserve"> </w:t>
      </w:r>
      <w:r w:rsidRPr="000A34DF">
        <w:rPr>
          <w:rFonts w:ascii="Times New Roman" w:hAnsi="Times New Roman" w:cs="Times New Roman"/>
          <w:sz w:val="24"/>
          <w:szCs w:val="24"/>
        </w:rPr>
        <w:t xml:space="preserve">The replacement must be approved by the Vice President of Instructional Services. </w:t>
      </w:r>
      <w:r w:rsidR="00CB294E">
        <w:rPr>
          <w:rFonts w:ascii="Times New Roman" w:hAnsi="Times New Roman" w:cs="Times New Roman"/>
          <w:sz w:val="24"/>
          <w:szCs w:val="24"/>
        </w:rPr>
        <w:t xml:space="preserve"> </w:t>
      </w:r>
      <w:r w:rsidRPr="000A34DF">
        <w:rPr>
          <w:rFonts w:ascii="Times New Roman" w:hAnsi="Times New Roman" w:cs="Times New Roman"/>
          <w:sz w:val="24"/>
          <w:szCs w:val="24"/>
        </w:rPr>
        <w:t xml:space="preserve">In the event of a last-minute illness, the Vice President of Instructional Services may designate an appropriate replacement. </w:t>
      </w:r>
    </w:p>
    <w:p w14:paraId="2F6630F8" w14:textId="77777777" w:rsidR="001055C8" w:rsidRPr="000A34DF" w:rsidRDefault="001055C8" w:rsidP="000A34DF">
      <w:pPr>
        <w:pStyle w:val="Heading3"/>
        <w:rPr>
          <w:rFonts w:ascii="Cambria" w:hAnsi="Cambria"/>
        </w:rPr>
      </w:pPr>
      <w:r w:rsidRPr="000A34DF">
        <w:rPr>
          <w:rFonts w:ascii="Cambria" w:hAnsi="Cambria"/>
        </w:rPr>
        <w:t>Reference:</w:t>
      </w:r>
    </w:p>
    <w:p w14:paraId="5EC1C8CB" w14:textId="5BE27FD3" w:rsidR="001055C8" w:rsidRPr="000A34DF" w:rsidRDefault="001055C8"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t>American Council on Education Academic Regalia Statement</w:t>
      </w:r>
      <w:r w:rsidR="00D932E6">
        <w:rPr>
          <w:rFonts w:ascii="Times New Roman" w:hAnsi="Times New Roman" w:cs="Times New Roman"/>
          <w:sz w:val="24"/>
          <w:szCs w:val="24"/>
        </w:rPr>
        <w:t xml:space="preserve">: </w:t>
      </w:r>
      <w:r w:rsidRPr="000A34DF">
        <w:rPr>
          <w:rFonts w:ascii="Times New Roman" w:hAnsi="Times New Roman" w:cs="Times New Roman"/>
          <w:sz w:val="24"/>
          <w:szCs w:val="24"/>
        </w:rPr>
        <w:t xml:space="preserve"> </w:t>
      </w:r>
      <w:hyperlink r:id="rId12" w:history="1">
        <w:r w:rsidRPr="000A34DF">
          <w:rPr>
            <w:rStyle w:val="Hyperlink"/>
            <w:rFonts w:ascii="Times New Roman" w:hAnsi="Times New Roman" w:cs="Times New Roman"/>
            <w:sz w:val="24"/>
            <w:szCs w:val="24"/>
          </w:rPr>
          <w:t>https://www.acenet.edu/Programs-Services/Pages/Academic-Regalia.aspx</w:t>
        </w:r>
      </w:hyperlink>
    </w:p>
    <w:p w14:paraId="521BA354" w14:textId="77777777" w:rsidR="00D932E6" w:rsidRDefault="00D932E6" w:rsidP="000A34DF">
      <w:pPr>
        <w:pStyle w:val="ListParagraph"/>
        <w:spacing w:before="120" w:after="120" w:line="240" w:lineRule="auto"/>
        <w:ind w:left="0"/>
        <w:contextualSpacing w:val="0"/>
        <w:rPr>
          <w:rStyle w:val="Heading3Char"/>
          <w:rFonts w:cs="Times New Roman"/>
          <w:color w:val="365F91" w:themeColor="accent1" w:themeShade="BF"/>
        </w:rPr>
      </w:pPr>
    </w:p>
    <w:p w14:paraId="7CBEC625" w14:textId="0E86529A" w:rsidR="00583D5E" w:rsidRDefault="00583D5E" w:rsidP="000A34DF">
      <w:pPr>
        <w:pStyle w:val="ListParagraph"/>
        <w:spacing w:before="120" w:after="120" w:line="240" w:lineRule="auto"/>
        <w:ind w:left="0"/>
        <w:contextualSpacing w:val="0"/>
        <w:rPr>
          <w:rFonts w:ascii="Times New Roman" w:hAnsi="Times New Roman" w:cs="Times New Roman"/>
          <w:sz w:val="24"/>
          <w:szCs w:val="24"/>
        </w:rPr>
      </w:pPr>
      <w:r w:rsidRPr="00D932E6">
        <w:rPr>
          <w:rStyle w:val="Heading3Char"/>
          <w:rFonts w:cs="Times New Roman"/>
          <w:color w:val="365F91" w:themeColor="accent1" w:themeShade="BF"/>
        </w:rPr>
        <w:t>Definitions</w:t>
      </w:r>
      <w:r w:rsidRPr="000A34DF">
        <w:rPr>
          <w:rStyle w:val="Heading3Char"/>
          <w:rFonts w:ascii="Times New Roman" w:hAnsi="Times New Roman" w:cs="Times New Roman"/>
        </w:rPr>
        <w:t>:</w:t>
      </w:r>
      <w:r w:rsidRPr="000A34DF">
        <w:rPr>
          <w:rFonts w:ascii="Times New Roman" w:hAnsi="Times New Roman" w:cs="Times New Roman"/>
          <w:sz w:val="24"/>
          <w:szCs w:val="24"/>
        </w:rPr>
        <w:t xml:space="preserve"> </w:t>
      </w:r>
      <w:r w:rsidR="00D8484B" w:rsidRPr="000A34DF">
        <w:rPr>
          <w:rFonts w:ascii="Times New Roman" w:hAnsi="Times New Roman" w:cs="Times New Roman"/>
          <w:sz w:val="24"/>
          <w:szCs w:val="24"/>
        </w:rPr>
        <w:t xml:space="preserve"> </w:t>
      </w:r>
    </w:p>
    <w:p w14:paraId="076A03A2" w14:textId="7120F7EE" w:rsidR="00A138A9" w:rsidRDefault="0062591E" w:rsidP="0062591E">
      <w:pPr>
        <w:pStyle w:val="Heading4"/>
      </w:pPr>
      <w:r w:rsidRPr="000A34DF">
        <w:t>Faculty</w:t>
      </w:r>
      <w:r w:rsidR="00105142">
        <w:t xml:space="preserve">:  </w:t>
      </w:r>
      <w:r w:rsidR="006E04CC">
        <w:rPr>
          <w:rFonts w:ascii="Times New Roman" w:hAnsi="Times New Roman" w:cs="Times New Roman"/>
          <w:i w:val="0"/>
          <w:iCs w:val="0"/>
          <w:color w:val="auto"/>
          <w:sz w:val="24"/>
          <w:szCs w:val="24"/>
        </w:rPr>
        <w:t>R</w:t>
      </w:r>
      <w:r w:rsidR="00F71DDA" w:rsidRPr="006E04CC">
        <w:rPr>
          <w:rFonts w:ascii="Times New Roman" w:hAnsi="Times New Roman" w:cs="Times New Roman"/>
          <w:i w:val="0"/>
          <w:iCs w:val="0"/>
          <w:color w:val="auto"/>
          <w:sz w:val="24"/>
          <w:szCs w:val="24"/>
        </w:rPr>
        <w:t>efers to instructors or professors at schools or colleges</w:t>
      </w:r>
      <w:r w:rsidR="006E04CC">
        <w:rPr>
          <w:rFonts w:ascii="Times New Roman" w:hAnsi="Times New Roman" w:cs="Times New Roman"/>
          <w:i w:val="0"/>
          <w:iCs w:val="0"/>
          <w:color w:val="auto"/>
          <w:sz w:val="24"/>
          <w:szCs w:val="24"/>
        </w:rPr>
        <w:t>.</w:t>
      </w:r>
    </w:p>
    <w:p w14:paraId="0F9F58B5" w14:textId="6300D8E2" w:rsidR="00A138A9" w:rsidRDefault="00105142" w:rsidP="00105142">
      <w:pPr>
        <w:pStyle w:val="Heading4"/>
      </w:pPr>
      <w:r>
        <w:t xml:space="preserve">Academic </w:t>
      </w:r>
      <w:r w:rsidR="00A138A9">
        <w:t>Dean</w:t>
      </w:r>
      <w:r>
        <w:t xml:space="preserve">:  </w:t>
      </w:r>
      <w:r w:rsidR="006E04CC">
        <w:rPr>
          <w:rFonts w:ascii="Times New Roman" w:hAnsi="Times New Roman" w:cs="Times New Roman"/>
          <w:i w:val="0"/>
          <w:iCs w:val="0"/>
          <w:color w:val="auto"/>
          <w:sz w:val="24"/>
          <w:szCs w:val="24"/>
          <w:shd w:val="clear" w:color="auto" w:fill="FFFFFF"/>
        </w:rPr>
        <w:t>S</w:t>
      </w:r>
      <w:r w:rsidR="00F47F0E" w:rsidRPr="006E04CC">
        <w:rPr>
          <w:rFonts w:ascii="Times New Roman" w:hAnsi="Times New Roman" w:cs="Times New Roman"/>
          <w:i w:val="0"/>
          <w:iCs w:val="0"/>
          <w:color w:val="auto"/>
          <w:sz w:val="24"/>
          <w:szCs w:val="24"/>
          <w:shd w:val="clear" w:color="auto" w:fill="FFFFFF"/>
        </w:rPr>
        <w:t>erves as</w:t>
      </w:r>
      <w:r w:rsidR="006E04CC">
        <w:rPr>
          <w:rFonts w:ascii="Times New Roman" w:hAnsi="Times New Roman" w:cs="Times New Roman"/>
          <w:i w:val="0"/>
          <w:iCs w:val="0"/>
          <w:color w:val="auto"/>
          <w:sz w:val="24"/>
          <w:szCs w:val="24"/>
          <w:shd w:val="clear" w:color="auto" w:fill="FFFFFF"/>
        </w:rPr>
        <w:t xml:space="preserve"> </w:t>
      </w:r>
      <w:r w:rsidR="00F47F0E" w:rsidRPr="006E04CC">
        <w:rPr>
          <w:rFonts w:ascii="Times New Roman" w:hAnsi="Times New Roman" w:cs="Times New Roman"/>
          <w:i w:val="0"/>
          <w:iCs w:val="0"/>
          <w:color w:val="auto"/>
          <w:sz w:val="24"/>
          <w:szCs w:val="24"/>
        </w:rPr>
        <w:t>a liaison between students, faculty, other staff members, top-level leadership of the school, and other administrators</w:t>
      </w:r>
      <w:r w:rsidR="00F47F0E" w:rsidRPr="006E04CC">
        <w:rPr>
          <w:rFonts w:ascii="Times New Roman" w:hAnsi="Times New Roman" w:cs="Times New Roman"/>
          <w:i w:val="0"/>
          <w:iCs w:val="0"/>
          <w:color w:val="auto"/>
          <w:sz w:val="24"/>
          <w:szCs w:val="24"/>
          <w:shd w:val="clear" w:color="auto" w:fill="FFFFFF"/>
        </w:rPr>
        <w:t xml:space="preserve">. </w:t>
      </w:r>
      <w:r w:rsidR="006E04CC">
        <w:rPr>
          <w:rFonts w:ascii="Times New Roman" w:hAnsi="Times New Roman" w:cs="Times New Roman"/>
          <w:i w:val="0"/>
          <w:iCs w:val="0"/>
          <w:color w:val="auto"/>
          <w:sz w:val="24"/>
          <w:szCs w:val="24"/>
          <w:shd w:val="clear" w:color="auto" w:fill="FFFFFF"/>
        </w:rPr>
        <w:t xml:space="preserve"> </w:t>
      </w:r>
      <w:r w:rsidR="00F47F0E" w:rsidRPr="006E04CC">
        <w:rPr>
          <w:rFonts w:ascii="Times New Roman" w:hAnsi="Times New Roman" w:cs="Times New Roman"/>
          <w:i w:val="0"/>
          <w:iCs w:val="0"/>
          <w:color w:val="auto"/>
          <w:sz w:val="24"/>
          <w:szCs w:val="24"/>
          <w:shd w:val="clear" w:color="auto" w:fill="FFFFFF"/>
        </w:rPr>
        <w:t>They are head of their academic unit, serving as its public face and representing it to the rest of the school and to external stakeholders.</w:t>
      </w:r>
    </w:p>
    <w:p w14:paraId="4924693D" w14:textId="77777777" w:rsidR="00ED07A9" w:rsidRDefault="00ED07A9" w:rsidP="00ED07A9">
      <w:pPr>
        <w:pStyle w:val="Heading4"/>
      </w:pPr>
      <w:r>
        <w:t>D</w:t>
      </w:r>
      <w:r w:rsidRPr="000A34DF">
        <w:t xml:space="preserve">epartment </w:t>
      </w:r>
      <w:r>
        <w:t>C</w:t>
      </w:r>
      <w:r w:rsidRPr="000A34DF">
        <w:t>hair</w:t>
      </w:r>
      <w:r>
        <w:t xml:space="preserve">:  </w:t>
      </w:r>
      <w:r w:rsidRPr="006E04CC">
        <w:rPr>
          <w:rFonts w:ascii="Times New Roman" w:hAnsi="Times New Roman" w:cs="Times New Roman"/>
          <w:i w:val="0"/>
          <w:iCs w:val="0"/>
          <w:color w:val="auto"/>
          <w:sz w:val="24"/>
          <w:szCs w:val="24"/>
          <w:shd w:val="clear" w:color="auto" w:fill="FFFFFF"/>
        </w:rPr>
        <w:t>A faculty member in each academic department, assigned by the dean to manage that department.</w:t>
      </w:r>
      <w:r w:rsidRPr="006E04CC">
        <w:rPr>
          <w:rFonts w:ascii="Roboto" w:hAnsi="Roboto"/>
          <w:color w:val="auto"/>
          <w:shd w:val="clear" w:color="auto" w:fill="FFFFFF"/>
        </w:rPr>
        <w:t> </w:t>
      </w:r>
    </w:p>
    <w:p w14:paraId="16F5F373" w14:textId="77777777" w:rsidR="0062591E" w:rsidRPr="000A34DF" w:rsidRDefault="0062591E" w:rsidP="000A34DF">
      <w:pPr>
        <w:pStyle w:val="ListParagraph"/>
        <w:spacing w:before="120" w:after="120" w:line="240" w:lineRule="auto"/>
        <w:ind w:left="0"/>
        <w:contextualSpacing w:val="0"/>
        <w:rPr>
          <w:rFonts w:ascii="Times New Roman" w:hAnsi="Times New Roman" w:cs="Times New Roman"/>
          <w:sz w:val="24"/>
          <w:szCs w:val="24"/>
        </w:rPr>
      </w:pPr>
    </w:p>
    <w:p w14:paraId="3DC477EC" w14:textId="6C5A089E" w:rsidR="00583D5E" w:rsidRPr="000A34DF" w:rsidRDefault="00583D5E" w:rsidP="000A34DF">
      <w:pPr>
        <w:spacing w:before="120" w:after="120" w:line="240" w:lineRule="auto"/>
        <w:rPr>
          <w:rFonts w:ascii="Times New Roman" w:hAnsi="Times New Roman" w:cs="Times New Roman"/>
          <w:sz w:val="24"/>
          <w:szCs w:val="24"/>
        </w:rPr>
      </w:pPr>
      <w:r w:rsidRPr="000A34DF">
        <w:rPr>
          <w:rStyle w:val="Heading3Char"/>
          <w:rFonts w:cs="Times New Roman"/>
        </w:rPr>
        <w:t>Owner</w:t>
      </w:r>
      <w:r w:rsidRPr="000A34DF">
        <w:rPr>
          <w:rStyle w:val="Heading3Char"/>
          <w:rFonts w:ascii="Times New Roman" w:hAnsi="Times New Roman" w:cs="Times New Roman"/>
        </w:rPr>
        <w:t>:</w:t>
      </w:r>
      <w:r w:rsidRPr="000A34DF">
        <w:rPr>
          <w:rFonts w:ascii="Times New Roman" w:hAnsi="Times New Roman" w:cs="Times New Roman"/>
          <w:sz w:val="24"/>
          <w:szCs w:val="24"/>
        </w:rPr>
        <w:t xml:space="preserve"> </w:t>
      </w:r>
      <w:r w:rsidR="00D8484B" w:rsidRPr="000A34DF">
        <w:rPr>
          <w:rFonts w:ascii="Times New Roman" w:hAnsi="Times New Roman" w:cs="Times New Roman"/>
          <w:sz w:val="24"/>
          <w:szCs w:val="24"/>
        </w:rPr>
        <w:t xml:space="preserve"> </w:t>
      </w:r>
      <w:r w:rsidR="00DA783C" w:rsidRPr="000A34DF">
        <w:rPr>
          <w:rFonts w:ascii="Times New Roman" w:hAnsi="Times New Roman" w:cs="Times New Roman"/>
          <w:sz w:val="24"/>
          <w:szCs w:val="24"/>
        </w:rPr>
        <w:t>Vice President for Instructional Services, Ext. 7</w:t>
      </w:r>
      <w:r w:rsidR="00B0600E">
        <w:rPr>
          <w:rFonts w:ascii="Times New Roman" w:hAnsi="Times New Roman" w:cs="Times New Roman"/>
          <w:sz w:val="24"/>
          <w:szCs w:val="24"/>
        </w:rPr>
        <w:t>900</w:t>
      </w:r>
    </w:p>
    <w:p w14:paraId="35396397" w14:textId="690EF953" w:rsidR="00CC1CE6" w:rsidRPr="000A34DF" w:rsidRDefault="00CC1CE6" w:rsidP="000A34DF">
      <w:pPr>
        <w:spacing w:before="120" w:after="120" w:line="240" w:lineRule="auto"/>
        <w:rPr>
          <w:rFonts w:ascii="Times New Roman" w:hAnsi="Times New Roman" w:cs="Times New Roman"/>
          <w:sz w:val="24"/>
          <w:szCs w:val="24"/>
        </w:rPr>
      </w:pPr>
      <w:r w:rsidRPr="000A34DF">
        <w:rPr>
          <w:rStyle w:val="Heading3Char"/>
          <w:rFonts w:cs="Times New Roman"/>
        </w:rPr>
        <w:t>Updated</w:t>
      </w:r>
      <w:r w:rsidRPr="000A34DF">
        <w:rPr>
          <w:rStyle w:val="Heading3Char"/>
          <w:rFonts w:ascii="Times New Roman" w:hAnsi="Times New Roman" w:cs="Times New Roman"/>
        </w:rPr>
        <w:t>:</w:t>
      </w:r>
      <w:r w:rsidRPr="000A34DF">
        <w:rPr>
          <w:rFonts w:ascii="Times New Roman" w:hAnsi="Times New Roman" w:cs="Times New Roman"/>
          <w:sz w:val="24"/>
          <w:szCs w:val="24"/>
        </w:rPr>
        <w:t xml:space="preserve">  </w:t>
      </w:r>
      <w:r w:rsidR="000D5749" w:rsidRPr="000A34DF">
        <w:rPr>
          <w:rFonts w:ascii="Times New Roman" w:hAnsi="Times New Roman" w:cs="Times New Roman"/>
          <w:sz w:val="24"/>
          <w:szCs w:val="24"/>
        </w:rPr>
        <w:t>July 12, 2023</w:t>
      </w:r>
    </w:p>
    <w:p w14:paraId="75AE5CF0" w14:textId="77777777" w:rsidR="006C43A8" w:rsidRPr="000A34DF" w:rsidRDefault="006C43A8" w:rsidP="000A34DF">
      <w:pPr>
        <w:spacing w:before="120" w:after="120" w:line="240" w:lineRule="auto"/>
        <w:rPr>
          <w:rFonts w:ascii="Times New Roman" w:hAnsi="Times New Roman" w:cs="Times New Roman"/>
          <w:sz w:val="24"/>
          <w:szCs w:val="24"/>
        </w:rPr>
      </w:pPr>
    </w:p>
    <w:p w14:paraId="3D304F29" w14:textId="054DC297" w:rsidR="00D8484B" w:rsidRPr="000A34DF" w:rsidRDefault="00D8484B" w:rsidP="000A34DF">
      <w:pPr>
        <w:spacing w:before="120" w:after="120" w:line="240" w:lineRule="auto"/>
        <w:rPr>
          <w:rFonts w:ascii="Times New Roman" w:hAnsi="Times New Roman" w:cs="Times New Roman"/>
          <w:sz w:val="24"/>
          <w:szCs w:val="24"/>
        </w:rPr>
      </w:pPr>
      <w:r w:rsidRPr="000A34DF">
        <w:rPr>
          <w:rFonts w:ascii="Times New Roman" w:hAnsi="Times New Roman" w:cs="Times New Roman"/>
          <w:sz w:val="24"/>
          <w:szCs w:val="24"/>
        </w:rPr>
        <w:lastRenderedPageBreak/>
        <w:t xml:space="preserve">Pursuant to Board policy, Chapter </w:t>
      </w:r>
      <w:r w:rsidR="00DA783C" w:rsidRPr="000A34DF">
        <w:rPr>
          <w:rFonts w:ascii="Times New Roman" w:hAnsi="Times New Roman" w:cs="Times New Roman"/>
          <w:sz w:val="24"/>
          <w:szCs w:val="24"/>
        </w:rPr>
        <w:t>200</w:t>
      </w:r>
      <w:r w:rsidRPr="000A34DF">
        <w:rPr>
          <w:rFonts w:ascii="Times New Roman" w:hAnsi="Times New Roman" w:cs="Times New Roman"/>
          <w:sz w:val="24"/>
          <w:szCs w:val="24"/>
        </w:rPr>
        <w:t xml:space="preserve">, Section </w:t>
      </w:r>
      <w:r w:rsidR="00DA783C" w:rsidRPr="000A34DF">
        <w:rPr>
          <w:rFonts w:ascii="Times New Roman" w:hAnsi="Times New Roman" w:cs="Times New Roman"/>
          <w:sz w:val="24"/>
          <w:szCs w:val="24"/>
        </w:rPr>
        <w:t>216</w:t>
      </w:r>
      <w:r w:rsidRPr="000A34DF">
        <w:rPr>
          <w:rFonts w:ascii="Times New Roman" w:hAnsi="Times New Roman" w:cs="Times New Roman"/>
          <w:sz w:val="24"/>
          <w:szCs w:val="24"/>
        </w:rPr>
        <w:t xml:space="preserve">, </w:t>
      </w:r>
      <w:r w:rsidR="00DA783C" w:rsidRPr="000A34DF">
        <w:rPr>
          <w:rFonts w:ascii="Times New Roman" w:hAnsi="Times New Roman" w:cs="Times New Roman"/>
          <w:sz w:val="24"/>
          <w:szCs w:val="24"/>
        </w:rPr>
        <w:t>Commencement Participation</w:t>
      </w:r>
      <w:r w:rsidRPr="000A34DF">
        <w:rPr>
          <w:rFonts w:ascii="Times New Roman" w:hAnsi="Times New Roman" w:cs="Times New Roman"/>
          <w:sz w:val="24"/>
          <w:szCs w:val="24"/>
        </w:rPr>
        <w:t xml:space="preserve"> must be followed.</w:t>
      </w:r>
    </w:p>
    <w:p w14:paraId="0159A7FF" w14:textId="77777777" w:rsidR="00CC1CE6" w:rsidRPr="000A34DF" w:rsidRDefault="00CC1CE6" w:rsidP="000A34DF">
      <w:pPr>
        <w:spacing w:before="120" w:after="120" w:line="240" w:lineRule="auto"/>
        <w:rPr>
          <w:rFonts w:ascii="Times New Roman" w:hAnsi="Times New Roman" w:cs="Times New Roman"/>
          <w:sz w:val="24"/>
          <w:szCs w:val="24"/>
        </w:rPr>
      </w:pPr>
    </w:p>
    <w:sectPr w:rsidR="00CC1CE6" w:rsidRPr="000A34D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43016" w14:textId="77777777" w:rsidR="00C922F5" w:rsidRDefault="00C922F5" w:rsidP="00BC0045">
      <w:pPr>
        <w:spacing w:after="0" w:line="240" w:lineRule="auto"/>
      </w:pPr>
      <w:r>
        <w:separator/>
      </w:r>
    </w:p>
  </w:endnote>
  <w:endnote w:type="continuationSeparator" w:id="0">
    <w:p w14:paraId="332FE222" w14:textId="77777777" w:rsidR="00C922F5" w:rsidRDefault="00C922F5" w:rsidP="00BC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48236"/>
      <w:docPartObj>
        <w:docPartGallery w:val="Page Numbers (Bottom of Page)"/>
        <w:docPartUnique/>
      </w:docPartObj>
    </w:sdtPr>
    <w:sdtEndPr>
      <w:rPr>
        <w:noProof/>
      </w:rPr>
    </w:sdtEndPr>
    <w:sdtContent>
      <w:p w14:paraId="1CFD1200" w14:textId="77777777" w:rsidR="00BC0045" w:rsidRDefault="00BC004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A848B7" w14:textId="77777777" w:rsidR="00BC0045" w:rsidRDefault="00BC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3DB0B" w14:textId="77777777" w:rsidR="00C922F5" w:rsidRDefault="00C922F5" w:rsidP="00BC0045">
      <w:pPr>
        <w:spacing w:after="0" w:line="240" w:lineRule="auto"/>
      </w:pPr>
      <w:r>
        <w:separator/>
      </w:r>
    </w:p>
  </w:footnote>
  <w:footnote w:type="continuationSeparator" w:id="0">
    <w:p w14:paraId="414D6741" w14:textId="77777777" w:rsidR="00C922F5" w:rsidRDefault="00C922F5" w:rsidP="00BC0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646"/>
    <w:multiLevelType w:val="hybridMultilevel"/>
    <w:tmpl w:val="6A82786C"/>
    <w:lvl w:ilvl="0" w:tplc="D75A20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90226"/>
    <w:multiLevelType w:val="hybridMultilevel"/>
    <w:tmpl w:val="5AEEC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50B9B"/>
    <w:multiLevelType w:val="hybridMultilevel"/>
    <w:tmpl w:val="FB2E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D49AF"/>
    <w:multiLevelType w:val="hybridMultilevel"/>
    <w:tmpl w:val="1AFCB806"/>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A5268"/>
    <w:multiLevelType w:val="hybridMultilevel"/>
    <w:tmpl w:val="4AC2619C"/>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E3869"/>
    <w:multiLevelType w:val="hybridMultilevel"/>
    <w:tmpl w:val="AB8E093E"/>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65BFE"/>
    <w:multiLevelType w:val="hybridMultilevel"/>
    <w:tmpl w:val="DACE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C22B5"/>
    <w:multiLevelType w:val="hybridMultilevel"/>
    <w:tmpl w:val="80D4B7FA"/>
    <w:lvl w:ilvl="0" w:tplc="D75A20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63A1D"/>
    <w:multiLevelType w:val="hybridMultilevel"/>
    <w:tmpl w:val="471EDC3A"/>
    <w:lvl w:ilvl="0" w:tplc="D75A20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E494B"/>
    <w:multiLevelType w:val="hybridMultilevel"/>
    <w:tmpl w:val="13866A8A"/>
    <w:lvl w:ilvl="0" w:tplc="79A4F1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73892"/>
    <w:multiLevelType w:val="hybridMultilevel"/>
    <w:tmpl w:val="7A8E40EE"/>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5530B"/>
    <w:multiLevelType w:val="hybridMultilevel"/>
    <w:tmpl w:val="455C5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03A52"/>
    <w:multiLevelType w:val="hybridMultilevel"/>
    <w:tmpl w:val="161A4DC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3" w15:restartNumberingAfterBreak="0">
    <w:nsid w:val="4799084F"/>
    <w:multiLevelType w:val="hybridMultilevel"/>
    <w:tmpl w:val="0024C896"/>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B1760"/>
    <w:multiLevelType w:val="hybridMultilevel"/>
    <w:tmpl w:val="CCA4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F0BBD"/>
    <w:multiLevelType w:val="hybridMultilevel"/>
    <w:tmpl w:val="2354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11E91"/>
    <w:multiLevelType w:val="hybridMultilevel"/>
    <w:tmpl w:val="9DB21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525F2"/>
    <w:multiLevelType w:val="hybridMultilevel"/>
    <w:tmpl w:val="C1A690E6"/>
    <w:lvl w:ilvl="0" w:tplc="E89AE432">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ED1DC2"/>
    <w:multiLevelType w:val="hybridMultilevel"/>
    <w:tmpl w:val="F6BC12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5010E"/>
    <w:multiLevelType w:val="hybridMultilevel"/>
    <w:tmpl w:val="94BEBBDE"/>
    <w:lvl w:ilvl="0" w:tplc="5B2035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479485">
    <w:abstractNumId w:val="11"/>
  </w:num>
  <w:num w:numId="2" w16cid:durableId="677392094">
    <w:abstractNumId w:val="0"/>
  </w:num>
  <w:num w:numId="3" w16cid:durableId="738016496">
    <w:abstractNumId w:val="2"/>
  </w:num>
  <w:num w:numId="4" w16cid:durableId="1780023796">
    <w:abstractNumId w:val="10"/>
  </w:num>
  <w:num w:numId="5" w16cid:durableId="611009378">
    <w:abstractNumId w:val="7"/>
  </w:num>
  <w:num w:numId="6" w16cid:durableId="1210142594">
    <w:abstractNumId w:val="13"/>
  </w:num>
  <w:num w:numId="7" w16cid:durableId="1614555452">
    <w:abstractNumId w:val="18"/>
  </w:num>
  <w:num w:numId="8" w16cid:durableId="498158264">
    <w:abstractNumId w:val="19"/>
  </w:num>
  <w:num w:numId="9" w16cid:durableId="1953051731">
    <w:abstractNumId w:val="17"/>
  </w:num>
  <w:num w:numId="10" w16cid:durableId="1064765275">
    <w:abstractNumId w:val="16"/>
  </w:num>
  <w:num w:numId="11" w16cid:durableId="491988009">
    <w:abstractNumId w:val="9"/>
  </w:num>
  <w:num w:numId="12" w16cid:durableId="344941533">
    <w:abstractNumId w:val="5"/>
  </w:num>
  <w:num w:numId="13" w16cid:durableId="1341155499">
    <w:abstractNumId w:val="14"/>
  </w:num>
  <w:num w:numId="14" w16cid:durableId="677926288">
    <w:abstractNumId w:val="1"/>
  </w:num>
  <w:num w:numId="15" w16cid:durableId="1571192047">
    <w:abstractNumId w:val="3"/>
  </w:num>
  <w:num w:numId="16" w16cid:durableId="43915438">
    <w:abstractNumId w:val="8"/>
  </w:num>
  <w:num w:numId="17" w16cid:durableId="2036879076">
    <w:abstractNumId w:val="4"/>
  </w:num>
  <w:num w:numId="18" w16cid:durableId="721563801">
    <w:abstractNumId w:val="6"/>
  </w:num>
  <w:num w:numId="19" w16cid:durableId="165247801">
    <w:abstractNumId w:val="12"/>
  </w:num>
  <w:num w:numId="20" w16cid:durableId="20792106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A34DF"/>
    <w:rsid w:val="000D5749"/>
    <w:rsid w:val="00105142"/>
    <w:rsid w:val="001055C8"/>
    <w:rsid w:val="00122FBE"/>
    <w:rsid w:val="00186E5B"/>
    <w:rsid w:val="002E4147"/>
    <w:rsid w:val="00344F52"/>
    <w:rsid w:val="0043646D"/>
    <w:rsid w:val="00526FA7"/>
    <w:rsid w:val="00583D5E"/>
    <w:rsid w:val="0062591E"/>
    <w:rsid w:val="006C43A8"/>
    <w:rsid w:val="006E04CC"/>
    <w:rsid w:val="006F1627"/>
    <w:rsid w:val="007344D8"/>
    <w:rsid w:val="007B6691"/>
    <w:rsid w:val="008A4F23"/>
    <w:rsid w:val="008A4F6B"/>
    <w:rsid w:val="00913515"/>
    <w:rsid w:val="00955CE7"/>
    <w:rsid w:val="00961E01"/>
    <w:rsid w:val="009A040D"/>
    <w:rsid w:val="009E3907"/>
    <w:rsid w:val="00A138A9"/>
    <w:rsid w:val="00A32ECE"/>
    <w:rsid w:val="00B0600E"/>
    <w:rsid w:val="00B7282C"/>
    <w:rsid w:val="00BC0045"/>
    <w:rsid w:val="00C034F4"/>
    <w:rsid w:val="00C300AF"/>
    <w:rsid w:val="00C922F5"/>
    <w:rsid w:val="00CA5162"/>
    <w:rsid w:val="00CB294E"/>
    <w:rsid w:val="00CC1CE6"/>
    <w:rsid w:val="00D36D59"/>
    <w:rsid w:val="00D8484B"/>
    <w:rsid w:val="00D932E6"/>
    <w:rsid w:val="00DA783C"/>
    <w:rsid w:val="00DD553E"/>
    <w:rsid w:val="00DF27B4"/>
    <w:rsid w:val="00E52999"/>
    <w:rsid w:val="00ED07A9"/>
    <w:rsid w:val="00F47F0E"/>
    <w:rsid w:val="00F7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C6CD"/>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C4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A34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8484B"/>
    <w:pPr>
      <w:ind w:left="720"/>
      <w:contextualSpacing/>
    </w:pPr>
  </w:style>
  <w:style w:type="character" w:customStyle="1" w:styleId="Heading3Char">
    <w:name w:val="Heading 3 Char"/>
    <w:basedOn w:val="DefaultParagraphFont"/>
    <w:link w:val="Heading3"/>
    <w:uiPriority w:val="9"/>
    <w:rsid w:val="006C43A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C0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045"/>
  </w:style>
  <w:style w:type="paragraph" w:styleId="Footer">
    <w:name w:val="footer"/>
    <w:basedOn w:val="Normal"/>
    <w:link w:val="FooterChar"/>
    <w:uiPriority w:val="99"/>
    <w:unhideWhenUsed/>
    <w:rsid w:val="00BC0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45"/>
  </w:style>
  <w:style w:type="character" w:styleId="Hyperlink">
    <w:name w:val="Hyperlink"/>
    <w:basedOn w:val="DefaultParagraphFont"/>
    <w:uiPriority w:val="99"/>
    <w:unhideWhenUsed/>
    <w:rsid w:val="001055C8"/>
    <w:rPr>
      <w:color w:val="0000FF" w:themeColor="hyperlink"/>
      <w:u w:val="single"/>
    </w:rPr>
  </w:style>
  <w:style w:type="character" w:customStyle="1" w:styleId="Heading4Char">
    <w:name w:val="Heading 4 Char"/>
    <w:basedOn w:val="DefaultParagraphFont"/>
    <w:link w:val="Heading4"/>
    <w:uiPriority w:val="9"/>
    <w:rsid w:val="000A34D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net.edu/Programs-Services/Pages/Academic-Regalia.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1226</Policy_x0020_Topic>
    <Related_x0020_Forms xmlns="35a135f3-0890-48fe-9b8a-01319c4a237d"/>
    <_dlc_DocId xmlns="bebb4801-54de-4360-b8be-17d68ad98198">5XFVYUFMDQTF-1824054229-747</_dlc_DocId>
    <_dlc_DocIdUrl xmlns="bebb4801-54de-4360-b8be-17d68ad98198">
      <Url>https://policies.abtech.edu/_layouts/15/DocIdRedir.aspx?ID=5XFVYUFMDQTF-1824054229-747</Url>
      <Description>5XFVYUFMDQTF-1824054229-747</Description>
    </_dlc_DocIdUrl>
    <_dlc_DocIdPersistId xmlns="bebb4801-54de-4360-b8be-17d68ad98198">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68AF28-69BB-4275-B4DD-E24231346D70}">
  <ds:schemaRefs>
    <ds:schemaRef ds:uri="http://schemas.microsoft.com/sharepoint/v3/contenttype/forms"/>
  </ds:schemaRefs>
</ds:datastoreItem>
</file>

<file path=customXml/itemProps2.xml><?xml version="1.0" encoding="utf-8"?>
<ds:datastoreItem xmlns:ds="http://schemas.openxmlformats.org/officeDocument/2006/customXml" ds:itemID="{97011FEF-1D6D-4E7E-990D-66B447B4B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33D6E-D800-48F2-93B0-4ADE7ACB8146}">
  <ds:schemaRefs>
    <ds:schemaRef ds:uri="35a135f3-0890-48fe-9b8a-01319c4a237d"/>
    <ds:schemaRef ds:uri="http://purl.org/dc/dcmitype/"/>
    <ds:schemaRef ds:uri="bebb4801-54de-4360-b8be-17d68ad98198"/>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BF0754B-875E-4C59-BFC1-1B8F86CCB8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Bookstore Operations and Use of Profits Procedure</vt:lpstr>
    </vt:vector>
  </TitlesOfParts>
  <Company>A-B Tech Community College</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Commencement Participation Procedure</dc:title>
  <dc:subject/>
  <dc:creator>Carolyn H Rice</dc:creator>
  <cp:keywords/>
  <dc:description/>
  <cp:lastModifiedBy>Carolyn H. Rice</cp:lastModifiedBy>
  <cp:revision>23</cp:revision>
  <dcterms:created xsi:type="dcterms:W3CDTF">2023-07-18T15:57:00Z</dcterms:created>
  <dcterms:modified xsi:type="dcterms:W3CDTF">2024-06-10T19:38:00Z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4dab061a-676a-4ca5-86bc-a94598dc1d89</vt:lpwstr>
  </property>
  <property fmtid="{D5CDD505-2E9C-101B-9397-08002B2CF9AE}" pid="4" name="Order">
    <vt:r8>74700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